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utoSpaceDN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b/>
          <w:color w:val="000000"/>
          <w:sz w:val="36"/>
          <w:szCs w:val="36"/>
          <w:shd w:val="clear" w:color="auto" w:fill="FFFFFF"/>
        </w:rPr>
      </w:pPr>
      <w:bookmarkStart w:id="0" w:name="_GoBack"/>
      <w:r>
        <w:rPr>
          <w:rFonts w:hint="eastAsia" w:ascii="黑体" w:hAnsi="黑体" w:eastAsia="黑体" w:cs="黑体"/>
          <w:b/>
          <w:color w:val="000000"/>
          <w:sz w:val="36"/>
          <w:szCs w:val="36"/>
          <w:shd w:val="clear" w:color="auto" w:fill="FFFFFF"/>
        </w:rPr>
        <w:t>教育部关于切实加强新时代高等学校美育工作的意见</w:t>
      </w:r>
    </w:p>
    <w:p>
      <w:pPr>
        <w:widowControl w:val="0"/>
        <w:shd w:val="solid" w:color="FFFFFF" w:fill="auto"/>
        <w:wordWrap/>
        <w:autoSpaceDN w:val="0"/>
        <w:adjustRightInd/>
        <w:snapToGrid/>
        <w:spacing w:before="150" w:after="150" w:line="500" w:lineRule="exact"/>
        <w:ind w:left="0" w:leftChars="0" w:right="0" w:firstLine="0" w:firstLineChars="0"/>
        <w:jc w:val="center"/>
        <w:textAlignment w:val="auto"/>
        <w:outlineLvl w:val="9"/>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教体艺〔2019〕2号</w:t>
      </w:r>
    </w:p>
    <w:bookmarkEnd w:id="0"/>
    <w:p>
      <w:pPr>
        <w:widowControl w:val="0"/>
        <w:shd w:val="solid" w:color="FFFFFF" w:fill="auto"/>
        <w:wordWrap/>
        <w:autoSpaceDN w:val="0"/>
        <w:adjustRightInd/>
        <w:snapToGrid/>
        <w:spacing w:before="150" w:after="150" w:line="500" w:lineRule="exact"/>
        <w:ind w:left="0" w:leftChars="0" w:right="0" w:firstLine="0" w:firstLineChars="0"/>
        <w:textAlignment w:val="auto"/>
        <w:outlineLvl w:val="9"/>
        <w:rPr>
          <w:rFonts w:hint="eastAsia" w:ascii="宋体" w:hAnsi="宋体" w:eastAsia="宋体" w:cs="宋体"/>
          <w:color w:val="000000"/>
          <w:sz w:val="28"/>
          <w:szCs w:val="28"/>
          <w:shd w:val="clear" w:color="auto" w:fill="FFFFFF"/>
        </w:rPr>
      </w:pPr>
    </w:p>
    <w:p>
      <w:pPr>
        <w:widowControl w:val="0"/>
        <w:shd w:val="solid" w:color="FFFFFF" w:fill="auto"/>
        <w:wordWrap/>
        <w:autoSpaceDN w:val="0"/>
        <w:adjustRightInd/>
        <w:snapToGrid/>
        <w:spacing w:before="150" w:after="150" w:line="500" w:lineRule="exact"/>
        <w:ind w:left="0" w:leftChars="0" w:right="0" w:firstLine="0" w:firstLineChars="0"/>
        <w:textAlignment w:val="auto"/>
        <w:outlineLvl w:val="9"/>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各省、自治区、直辖市教育厅（教委），新疆生产建设兵团教育局，部属各高等学校、部省合建各高等学校：</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实习近平总书记关于教育的重要论述和全国教育大会精神，切实加强新时代高等学校美育工作提出如下意见。</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一</w:t>
      </w:r>
      <w:r>
        <w:rPr>
          <w:rFonts w:hint="eastAsia" w:ascii="黑体" w:hAnsi="黑体" w:eastAsia="黑体" w:cs="黑体"/>
          <w:color w:val="000000"/>
          <w:sz w:val="28"/>
          <w:szCs w:val="28"/>
          <w:shd w:val="clear" w:color="auto" w:fill="FFFFFF"/>
        </w:rPr>
        <w:t>、高校美育工作的总体要求</w:t>
      </w:r>
      <w:r>
        <w:rPr>
          <w:rFonts w:hint="eastAsia" w:ascii="黑体" w:hAnsi="黑体" w:eastAsia="黑体" w:cs="黑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（一）指导思想</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 以美育人、以美化人、以美培元，培养德智体美劳全面发展的社会主义建设者和接班人。</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（二）基本原则</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坚持正确方向。学校美育具有很强的意识形态属性，要坚持以社会主义核心价值观为引领，弘扬中华优秀传统文化，继承革命文化，发展社会主义先进文化，形成高校学生自觉增强文化主体意识、强化文化担当的新面貌。</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坚持面向全体。健全并不断完善面向人人的高校美育育人机制，让所有在校学生都享有接受美育的机会，促进德智体美劳有机融合。加强分类指导，因地因校制宜，鼓励特色发展，形成“一校多品”的新局面。</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坚持改革创新。全面深化高校美育综合改革，整合美育资源，全面提高普及艺术教育教学质量，切实推进专业艺术教育和艺术师范教育的改革发展，形成充满活力、多方协作、开放高效的高校美育新格局。</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（三）总体目标</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到2022年，高校美育取得突破性进展，美育教育教学改革成效显著，师资队伍建设和场馆设施明显加强，推进机制和评价体系日益完善，高校学生的审美和人文素养显著提升。到2035年，形成多样化高质量具有中国特色的社会主义现代化高等学校美育体系。</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w:t>
      </w:r>
      <w:r>
        <w:rPr>
          <w:rFonts w:hint="eastAsia" w:ascii="黑体" w:hAnsi="黑体" w:eastAsia="黑体" w:cs="黑体"/>
          <w:color w:val="000000"/>
          <w:sz w:val="28"/>
          <w:szCs w:val="28"/>
          <w:shd w:val="clear" w:color="auto" w:fill="FFFFFF"/>
        </w:rPr>
        <w:t>　</w:t>
      </w:r>
      <w:r>
        <w:rPr>
          <w:rFonts w:hint="eastAsia" w:ascii="黑体" w:hAnsi="黑体" w:eastAsia="黑体" w:cs="黑体"/>
          <w:color w:val="000000"/>
          <w:sz w:val="28"/>
          <w:szCs w:val="28"/>
          <w:shd w:val="clear" w:color="auto" w:fill="FFFFFF"/>
        </w:rPr>
        <w:t>二、高校美育工作的重点任务</w:t>
      </w:r>
      <w:r>
        <w:rPr>
          <w:rFonts w:hint="eastAsia" w:ascii="黑体" w:hAnsi="黑体" w:eastAsia="黑体" w:cs="黑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高校美育要以艺术教育的改革发展为重点，紧紧围绕高校普及艺术教育、专业艺术教育和艺术师范教育三个重点领域，大力加强和改进美育教育教学。</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（一）强化普及艺术教育</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校制宜开展丰富多彩的艺术实践活动，积极探索创造具有时代特征、校园特色、学生特点、教育特质的艺术实践活动形式。开展公共艺术教育微课展示，培育建设一批高质量的美育精品课程。加强高校艺术社团建设，加大从普通在校生中挖掘、选拔、培养艺术团成员力度，带动校园文化活动开展，学校艺术实践活动要让大多数学生参与其中，享受其中。</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（二）提升专业艺术教育</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（三）改进艺术师范教育</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高等学校艺术师范专业要凸显师范教育特质。要以培养党和人民满意的高素质专业化创新型教师队伍为根本，坚定办学方向、坚守师范特质、坚持服务需求、强化实践环节，依托卓越教师培养计划2.0，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w:t>
      </w:r>
      <w:r>
        <w:rPr>
          <w:rFonts w:hint="eastAsia" w:ascii="仿宋" w:hAnsi="仿宋" w:eastAsia="仿宋" w:cs="仿宋"/>
          <w:color w:val="000000"/>
          <w:sz w:val="28"/>
          <w:szCs w:val="28"/>
          <w:shd w:val="clear" w:color="auto" w:fill="FFFFFF"/>
        </w:rPr>
        <w:t>三、高校美育工作的主要举措</w:t>
      </w:r>
      <w:r>
        <w:rPr>
          <w:rFonts w:hint="eastAsia" w:ascii="仿宋" w:hAnsi="仿宋" w:eastAsia="仿宋" w:cs="仿宋"/>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（一）建强美育教师队伍</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（二）深化美育教学改革</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推进美育教学改革与创新。促进高校美育与德育、智育、体育和劳动教育相融合，与各学科专业教学、社会实践和创新创业教育相结合。充分运用现代化信息技术手段, 探索构建网络化、数字化、智能化、线上线下相结合的课程教学模式，规划建设一批高质量美育慕课，扩大优质课程覆盖面。成立全国高校美育教学指导委员会，提高面向全体大学生的美育教育质量，发挥高校艺术学类专业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校协同、校所协同、校企协同、校地协同创新培养模式，逐步完善高校与文化宣传部门、文艺团体、中小学校等协同育人机制。</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（三）推进文化传承创新</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（四）增强服务社会的能力水平</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四、高校美育工作的组织保障</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（一）明确高校主体责任</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（二）加强地方统筹协调</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项目布点在高校，促进高校资源与社会资源互动互联，推动优质资源设施共建共享。</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（三）落实美育经费保障</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（四）完善评价监测督导</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各高校要结合本校实际，制定落实本意见的实施细则，纳入学校整体发展规划。部属高校实施细则须于2019年9月1日前报教育部体育卫生与艺术教育司。各省（区、市）教育行政部门要加强指导，汇总属地高校实施细则，及时总结落实情况，宣传工作经验，推广先进典型。</w:t>
      </w:r>
    </w:p>
    <w:p>
      <w:pPr>
        <w:widowControl w:val="0"/>
        <w:shd w:val="solid" w:color="FFFFFF" w:fill="auto"/>
        <w:wordWrap/>
        <w:autoSpaceDN w:val="0"/>
        <w:adjustRightInd/>
        <w:snapToGrid/>
        <w:spacing w:before="150" w:after="150" w:line="500" w:lineRule="exact"/>
        <w:ind w:left="0" w:leftChars="0" w:right="0" w:firstLine="0" w:firstLineChars="0"/>
        <w:jc w:val="both"/>
        <w:textAlignment w:val="auto"/>
        <w:outlineLvl w:val="9"/>
        <w:rPr>
          <w:rFonts w:hint="eastAsia" w:ascii="宋体" w:hAnsi="宋体" w:cs="宋体"/>
          <w:color w:val="000000"/>
          <w:sz w:val="28"/>
          <w:szCs w:val="28"/>
          <w:shd w:val="clear" w:color="auto" w:fill="FFFFFF"/>
          <w:lang w:val="en-US" w:eastAsia="zh-CN"/>
        </w:rPr>
      </w:pPr>
    </w:p>
    <w:p>
      <w:pPr>
        <w:widowControl w:val="0"/>
        <w:shd w:val="solid" w:color="FFFFFF" w:fill="auto"/>
        <w:wordWrap/>
        <w:autoSpaceDN w:val="0"/>
        <w:adjustRightInd/>
        <w:snapToGrid/>
        <w:spacing w:before="150" w:after="150" w:line="500" w:lineRule="exact"/>
        <w:ind w:left="0" w:leftChars="0" w:right="0" w:firstLine="0" w:firstLineChars="0"/>
        <w:jc w:val="center"/>
        <w:textAlignment w:val="auto"/>
        <w:outlineLvl w:val="9"/>
        <w:rPr>
          <w:rFonts w:hint="eastAsia" w:ascii="宋体" w:hAnsi="宋体" w:cs="宋体"/>
          <w:color w:val="000000"/>
          <w:sz w:val="28"/>
          <w:szCs w:val="28"/>
          <w:shd w:val="clear" w:color="auto" w:fill="FFFFFF"/>
          <w:lang w:val="en-US" w:eastAsia="zh-CN"/>
        </w:rPr>
      </w:pPr>
    </w:p>
    <w:p>
      <w:pPr>
        <w:widowControl w:val="0"/>
        <w:shd w:val="solid" w:color="FFFFFF" w:fill="auto"/>
        <w:wordWrap/>
        <w:autoSpaceDN w:val="0"/>
        <w:adjustRightInd/>
        <w:snapToGrid/>
        <w:spacing w:before="150" w:after="150" w:line="500" w:lineRule="exact"/>
        <w:ind w:left="0" w:leftChars="0" w:right="0" w:firstLine="0" w:firstLineChars="0"/>
        <w:jc w:val="center"/>
        <w:textAlignment w:val="auto"/>
        <w:outlineLvl w:val="9"/>
        <w:rPr>
          <w:rFonts w:hint="eastAsia" w:ascii="宋体" w:hAnsi="宋体" w:cs="宋体"/>
          <w:color w:val="000000"/>
          <w:sz w:val="28"/>
          <w:szCs w:val="28"/>
          <w:shd w:val="clear" w:color="auto" w:fill="FFFFFF"/>
          <w:lang w:val="en-US" w:eastAsia="zh-CN"/>
        </w:rPr>
      </w:pPr>
    </w:p>
    <w:p>
      <w:pPr>
        <w:widowControl w:val="0"/>
        <w:shd w:val="solid" w:color="FFFFFF" w:fill="auto"/>
        <w:wordWrap/>
        <w:autoSpaceDN w:val="0"/>
        <w:adjustRightInd/>
        <w:snapToGrid/>
        <w:spacing w:before="150" w:after="150" w:line="500" w:lineRule="exact"/>
        <w:ind w:left="0" w:leftChars="0" w:right="0" w:firstLine="0" w:firstLineChars="0"/>
        <w:jc w:val="center"/>
        <w:textAlignment w:val="auto"/>
        <w:outlineLvl w:val="9"/>
        <w:rPr>
          <w:rFonts w:hint="eastAsia" w:ascii="宋体" w:hAnsi="宋体" w:eastAsia="宋体" w:cs="宋体"/>
          <w:color w:val="000000"/>
          <w:sz w:val="28"/>
          <w:szCs w:val="28"/>
          <w:shd w:val="clear" w:color="auto" w:fill="FFFFFF"/>
        </w:rPr>
      </w:pPr>
      <w:r>
        <w:rPr>
          <w:rFonts w:hint="eastAsia" w:ascii="宋体" w:hAnsi="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教育部</w:t>
      </w:r>
      <w:r>
        <w:rPr>
          <w:rFonts w:hint="eastAsia" w:ascii="宋体" w:hAnsi="宋体" w:eastAsia="宋体" w:cs="宋体"/>
          <w:color w:val="000000"/>
          <w:sz w:val="28"/>
          <w:szCs w:val="28"/>
          <w:shd w:val="clear" w:color="auto" w:fill="FFFFFF"/>
        </w:rPr>
        <w:br/>
      </w:r>
      <w:r>
        <w:rPr>
          <w:rFonts w:hint="eastAsia" w:ascii="宋体" w:hAnsi="宋体" w:eastAsia="宋体" w:cs="宋体"/>
          <w:color w:val="000000"/>
          <w:sz w:val="28"/>
          <w:szCs w:val="28"/>
          <w:shd w:val="clear" w:color="auto" w:fill="FFFFFF"/>
        </w:rPr>
        <w:t xml:space="preserve"> 　</w:t>
      </w:r>
      <w:r>
        <w:rPr>
          <w:rFonts w:hint="eastAsia" w:ascii="宋体" w:hAnsi="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　2019年3月29日</w:t>
      </w:r>
    </w:p>
    <w:p>
      <w:pPr>
        <w:widowControl w:val="0"/>
        <w:wordWrap/>
        <w:adjustRightInd/>
        <w:snapToGrid/>
        <w:spacing w:line="500" w:lineRule="exact"/>
        <w:ind w:left="0" w:leftChars="0" w:right="0" w:firstLine="0" w:firstLineChars="0"/>
        <w:textAlignment w:val="auto"/>
        <w:outlineLvl w:val="9"/>
        <w:rPr>
          <w:rFonts w:hint="eastAsia" w:ascii="宋体" w:hAnsi="宋体" w:eastAsia="宋体" w:cs="宋体"/>
          <w:color w:val="000000"/>
          <w:sz w:val="28"/>
          <w:szCs w:val="28"/>
          <w:lang w:val="en-US"/>
        </w:rPr>
      </w:pPr>
    </w:p>
    <w:sectPr>
      <w:pgSz w:w="11906" w:h="16838"/>
      <w:pgMar w:top="1417" w:right="1701" w:bottom="1417" w:left="1701" w:header="851" w:footer="992" w:gutter="0"/>
      <w:paperSrc w:first="0" w:oth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黑体;">
    <w:altName w:val="黑体"/>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cp:lastModifiedBy>Administrator</cp:lastModifiedBy>
  <dcterms:modified xsi:type="dcterms:W3CDTF">2019-09-23T12:38:44Z</dcterms:modified>
  <dc:title>教育部关于切实加强新时代高等学校美育工作的意见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